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09711A67"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D94309">
        <w:rPr>
          <w:rFonts w:cs="Arial"/>
          <w:sz w:val="24"/>
          <w:szCs w:val="24"/>
        </w:rPr>
        <w:t>4</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D94309">
        <w:rPr>
          <w:rFonts w:cs="Arial"/>
          <w:noProof w:val="0"/>
          <w:sz w:val="24"/>
        </w:rPr>
        <w:t>5</w:t>
      </w:r>
      <w:r w:rsidR="00BB6F49">
        <w:rPr>
          <w:rFonts w:cs="Arial"/>
          <w:noProof w:val="0"/>
          <w:sz w:val="24"/>
        </w:rPr>
        <w:t>01148</w:t>
      </w:r>
    </w:p>
    <w:p w14:paraId="321D1244" w14:textId="76ABA0DA" w:rsidR="0011347F" w:rsidRPr="00AB081E" w:rsidRDefault="00D94309" w:rsidP="00955E3D">
      <w:pPr>
        <w:pStyle w:val="Header"/>
        <w:tabs>
          <w:tab w:val="left" w:pos="3150"/>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17</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21</w:t>
      </w:r>
      <w:r w:rsidRPr="00D94309">
        <w:rPr>
          <w:rFonts w:cs="Arial"/>
          <w:sz w:val="24"/>
          <w:szCs w:val="24"/>
          <w:vertAlign w:val="superscript"/>
        </w:rPr>
        <w:t>st</w:t>
      </w:r>
      <w:r>
        <w:rPr>
          <w:rFonts w:cs="Arial"/>
          <w:sz w:val="24"/>
          <w:szCs w:val="24"/>
        </w:rPr>
        <w:t xml:space="preserve"> February</w:t>
      </w:r>
      <w:r w:rsidR="0011347F" w:rsidRPr="00AE32FA">
        <w:rPr>
          <w:rFonts w:cs="Arial"/>
          <w:sz w:val="24"/>
          <w:szCs w:val="24"/>
        </w:rPr>
        <w:t xml:space="preserve"> 202</w:t>
      </w:r>
      <w:r>
        <w:rPr>
          <w:rFonts w:cs="Arial"/>
          <w:sz w:val="24"/>
          <w:szCs w:val="24"/>
        </w:rPr>
        <w:t>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1F218F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BB6F49">
        <w:rPr>
          <w:rFonts w:ascii="Arial" w:hAnsi="Arial" w:cs="Arial"/>
          <w:b/>
          <w:sz w:val="24"/>
        </w:rPr>
        <w:t>7.17.2.2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746F7B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AE0357" w:rsidRPr="00AE0357">
        <w:rPr>
          <w:rFonts w:ascii="Arial" w:hAnsi="Arial" w:cs="Arial"/>
          <w:b/>
          <w:sz w:val="24"/>
        </w:rPr>
        <w:t>Discussion on delay reduction by optimizing CSSF outside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06D1E1D1" w:rsidR="00DC1448" w:rsidRDefault="00DC1448" w:rsidP="00E62411">
      <w:r>
        <w:t xml:space="preserve">In this paper we provide our </w:t>
      </w:r>
      <w:r w:rsidR="008A1AEB">
        <w:t>analysis on</w:t>
      </w:r>
      <w:r>
        <w:t xml:space="preserve"> </w:t>
      </w:r>
      <w:r w:rsidR="00BC6A97">
        <w:t xml:space="preserve">delay reduction by optimizing </w:t>
      </w:r>
      <w:r w:rsidR="00392225">
        <w:t>CSSF outside gap</w:t>
      </w:r>
      <w:r>
        <w:t>.</w:t>
      </w:r>
    </w:p>
    <w:p w14:paraId="7A73CE75" w14:textId="548A0372" w:rsidR="00EB6DB3" w:rsidRDefault="00EB6DB3" w:rsidP="006850C8">
      <w:pPr>
        <w:pStyle w:val="Heading1"/>
      </w:pPr>
      <w:r>
        <w:t>Discussion</w:t>
      </w:r>
    </w:p>
    <w:p w14:paraId="75BBB8DD" w14:textId="77777777" w:rsidR="008E7DB3" w:rsidRDefault="008E7DB3" w:rsidP="008E7DB3">
      <w:pPr>
        <w:pStyle w:val="Heading2"/>
        <w:ind w:left="567"/>
      </w:pPr>
      <w:r>
        <w:t>CSSF outside gap in CA/DC operations</w:t>
      </w:r>
    </w:p>
    <w:p w14:paraId="44DA1ED6" w14:textId="0AA342F7" w:rsidR="00AC0764" w:rsidRPr="00AC0764" w:rsidRDefault="00AC0764" w:rsidP="00AC0764">
      <w:pPr>
        <w:rPr>
          <w:b/>
          <w:bCs/>
          <w:i/>
          <w:iCs/>
          <w:u w:val="single"/>
        </w:rPr>
      </w:pPr>
      <w:r w:rsidRPr="00AC0764">
        <w:rPr>
          <w:b/>
          <w:bCs/>
          <w:i/>
          <w:iCs/>
          <w:u w:val="single"/>
        </w:rPr>
        <w:t>Measur</w:t>
      </w:r>
      <w:r w:rsidR="002B39B0">
        <w:rPr>
          <w:b/>
          <w:bCs/>
          <w:i/>
          <w:iCs/>
          <w:u w:val="single"/>
        </w:rPr>
        <w:t>ing</w:t>
      </w:r>
      <w:r w:rsidRPr="00AC0764">
        <w:rPr>
          <w:b/>
          <w:bCs/>
          <w:i/>
          <w:iCs/>
          <w:u w:val="single"/>
        </w:rPr>
        <w:t xml:space="preserve"> one serving CC per band</w:t>
      </w:r>
    </w:p>
    <w:p w14:paraId="2108FCBF" w14:textId="77777777" w:rsidR="008E7DB3" w:rsidRDefault="008E7DB3" w:rsidP="008E7DB3">
      <w:r>
        <w:t>One of the motivations to have this general enhancement for all FR2-1 UE CSSF outside gap is that the intra-band carriers in FR2 share the most similar characteristics as targets to SSB based L3 measurements. There is a consensus in RAN4 since Rel-15 that for FR2 target cells of a certain band, the UE chooses target cells within a single frequency layer for neighbour cell measurements. This is specified in TS 38.133 clause 9.2.3.2.</w:t>
      </w:r>
    </w:p>
    <w:tbl>
      <w:tblPr>
        <w:tblStyle w:val="TableGrid"/>
        <w:tblW w:w="0" w:type="auto"/>
        <w:tblLook w:val="04A0" w:firstRow="1" w:lastRow="0" w:firstColumn="1" w:lastColumn="0" w:noHBand="0" w:noVBand="1"/>
      </w:tblPr>
      <w:tblGrid>
        <w:gridCol w:w="9621"/>
      </w:tblGrid>
      <w:tr w:rsidR="008E7DB3" w14:paraId="4744BD33" w14:textId="77777777" w:rsidTr="004B7D20">
        <w:tc>
          <w:tcPr>
            <w:tcW w:w="9621" w:type="dxa"/>
          </w:tcPr>
          <w:p w14:paraId="70D4FCC2" w14:textId="77777777" w:rsidR="008E7DB3" w:rsidRPr="00852F61" w:rsidRDefault="008E7DB3" w:rsidP="004B7D20">
            <w:r w:rsidRPr="00852F61">
              <w:lastRenderedPageBreak/>
              <w:t xml:space="preserve">For one single intra-frequency layer in a band, during each layer 1 measurement period, the UE shall be capable of performing </w:t>
            </w:r>
            <w:r w:rsidRPr="00852F61">
              <w:rPr>
                <w:rFonts w:cs="v4.2.0"/>
              </w:rPr>
              <w:t xml:space="preserve">SS-RSRP, SS-RSRQ, and SS-SINR measurements for </w:t>
            </w:r>
            <w:r w:rsidRPr="00852F61">
              <w:t>at least:</w:t>
            </w:r>
          </w:p>
          <w:p w14:paraId="35F1825B" w14:textId="77777777" w:rsidR="008E7DB3" w:rsidRPr="00852F61" w:rsidRDefault="008E7DB3" w:rsidP="004B7D20">
            <w:pPr>
              <w:pStyle w:val="B1"/>
              <w:rPr>
                <w:sz w:val="20"/>
                <w:szCs w:val="20"/>
              </w:rPr>
            </w:pPr>
            <w:r w:rsidRPr="00852F61">
              <w:rPr>
                <w:sz w:val="20"/>
                <w:szCs w:val="20"/>
              </w:rPr>
              <w:t>-</w:t>
            </w:r>
            <w:r w:rsidRPr="00852F61">
              <w:rPr>
                <w:sz w:val="20"/>
                <w:szCs w:val="20"/>
              </w:rPr>
              <w:tab/>
              <w:t>6 identified cells, and</w:t>
            </w:r>
          </w:p>
          <w:p w14:paraId="0D22BBD9" w14:textId="77777777" w:rsidR="008E7DB3" w:rsidRPr="00852F61" w:rsidRDefault="008E7DB3" w:rsidP="004B7D20">
            <w:pPr>
              <w:pStyle w:val="B1"/>
              <w:rPr>
                <w:sz w:val="20"/>
                <w:szCs w:val="20"/>
              </w:rPr>
            </w:pPr>
            <w:r w:rsidRPr="00852F61">
              <w:rPr>
                <w:sz w:val="20"/>
                <w:szCs w:val="20"/>
              </w:rPr>
              <w:t>-</w:t>
            </w:r>
            <w:r w:rsidRPr="00852F61">
              <w:rPr>
                <w:sz w:val="20"/>
                <w:szCs w:val="20"/>
              </w:rPr>
              <w:tab/>
              <w:t>24 SSBs with different SSB index and/or PCI,</w:t>
            </w:r>
          </w:p>
          <w:p w14:paraId="088D1EB2" w14:textId="77777777" w:rsidR="008E7DB3" w:rsidRPr="00852F61" w:rsidRDefault="008E7DB3" w:rsidP="004B7D20">
            <w:r w:rsidRPr="00852F61">
              <w:t>where this single intra-frequency layer shall be:</w:t>
            </w:r>
          </w:p>
          <w:p w14:paraId="28DF423F" w14:textId="77777777" w:rsidR="008E7DB3" w:rsidRPr="00852F61" w:rsidRDefault="008E7DB3" w:rsidP="004B7D20">
            <w:pPr>
              <w:pStyle w:val="B1"/>
              <w:rPr>
                <w:sz w:val="20"/>
                <w:szCs w:val="20"/>
                <w:lang w:eastAsia="zh-CN"/>
              </w:rPr>
            </w:pPr>
            <w:r w:rsidRPr="00852F61">
              <w:rPr>
                <w:sz w:val="20"/>
                <w:szCs w:val="20"/>
              </w:rPr>
              <w:t>-</w:t>
            </w:r>
            <w:r w:rsidRPr="00852F61">
              <w:rPr>
                <w:sz w:val="20"/>
                <w:szCs w:val="20"/>
              </w:rPr>
              <w:tab/>
              <w:t>PCC</w:t>
            </w:r>
            <w:r w:rsidRPr="00852F61">
              <w:rPr>
                <w:sz w:val="20"/>
                <w:szCs w:val="20"/>
                <w:lang w:eastAsia="zh-CN"/>
              </w:rPr>
              <w:t xml:space="preserve"> when UE is configured with SA NR operation mode with PCC in the band; or</w:t>
            </w:r>
          </w:p>
          <w:p w14:paraId="17FD2B7A" w14:textId="77777777" w:rsidR="008E7DB3" w:rsidRPr="00852F61" w:rsidRDefault="008E7DB3" w:rsidP="004B7D20">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EN-DC with PSCC in the band; or</w:t>
            </w:r>
          </w:p>
          <w:p w14:paraId="6679B0D3" w14:textId="77777777" w:rsidR="008E7DB3" w:rsidRPr="00852F61" w:rsidRDefault="008E7DB3" w:rsidP="004B7D20">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NR-DC with PSCC in the band; or</w:t>
            </w:r>
          </w:p>
          <w:p w14:paraId="65816FC2" w14:textId="77777777" w:rsidR="008E7DB3" w:rsidRPr="00852F61" w:rsidRDefault="008E7DB3" w:rsidP="004B7D20">
            <w:pPr>
              <w:pStyle w:val="B1"/>
              <w:rPr>
                <w:sz w:val="20"/>
                <w:szCs w:val="20"/>
              </w:rPr>
            </w:pPr>
            <w:r w:rsidRPr="00852F61">
              <w:rPr>
                <w:sz w:val="20"/>
                <w:szCs w:val="20"/>
              </w:rPr>
              <w:t>-</w:t>
            </w:r>
            <w:r w:rsidRPr="00852F61">
              <w:rPr>
                <w:sz w:val="20"/>
                <w:szCs w:val="20"/>
              </w:rPr>
              <w:tab/>
            </w:r>
            <w:r w:rsidRPr="00852F61">
              <w:rPr>
                <w:sz w:val="20"/>
                <w:szCs w:val="20"/>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rsidRPr="00852F61">
              <w:rPr>
                <w:sz w:val="20"/>
                <w:szCs w:val="20"/>
              </w:rPr>
              <w:t xml:space="preserve"> otherwise the selected SCC is determined by UE implementation.</w:t>
            </w:r>
          </w:p>
          <w:p w14:paraId="31A94EE7" w14:textId="77777777" w:rsidR="008E7DB3" w:rsidRPr="00852F61" w:rsidRDefault="008E7DB3" w:rsidP="004B7D20">
            <w:r w:rsidRPr="00852F61">
              <w:t xml:space="preserve">The UE shall also be capable of performing </w:t>
            </w:r>
            <w:r w:rsidRPr="00852F61">
              <w:rPr>
                <w:rFonts w:cs="v4.2.0"/>
              </w:rPr>
              <w:t>SS-RSRP, SS-RSRQ, and SS-SINR measurements</w:t>
            </w:r>
            <w:r w:rsidRPr="00852F61">
              <w:t xml:space="preserve"> for at least 2 SSBs on serving cell for each of the other intra-frequency layer(s) in the same band.</w:t>
            </w:r>
          </w:p>
        </w:tc>
      </w:tr>
    </w:tbl>
    <w:p w14:paraId="331B19BB" w14:textId="0B31329C" w:rsidR="008E7DB3" w:rsidRDefault="008E7DB3" w:rsidP="008E7DB3">
      <w:r>
        <w:t xml:space="preserve">Based on this consensus, for FR2 measurements, there </w:t>
      </w:r>
      <w:r w:rsidR="008B3106">
        <w:t>is</w:t>
      </w:r>
      <w:r>
        <w:t xml:space="preserve"> no need to scale the measurement delay by number of carriers within the same band for each serving SCC. The UE measures on one carrier of a band in FR2 and all other carriers in the band is considered as known and measured. The measurement results can be shared among all the intra-band carriers. Note that there are indeed preconditions for this enhancement to apply to the existing requirements for FR2-1 SSB based L3 measurement delay.</w:t>
      </w:r>
    </w:p>
    <w:p w14:paraId="17AC7A00" w14:textId="6BA1923C" w:rsidR="00AC0764" w:rsidRDefault="00AC0764" w:rsidP="008E7DB3">
      <w:r>
        <w:t>In Rel-19 RAN4 specifications, we need to define the rules and principles for the measurement when the UE supports single carrier measurement within one band, and when the network allows the UE to do so.</w:t>
      </w:r>
    </w:p>
    <w:p w14:paraId="6A75A702" w14:textId="0E9E0FBA" w:rsidR="00AC0764" w:rsidRDefault="00AC0764" w:rsidP="00AC0764">
      <w:pPr>
        <w:pStyle w:val="ListParagraph"/>
        <w:numPr>
          <w:ilvl w:val="1"/>
          <w:numId w:val="40"/>
        </w:numPr>
      </w:pPr>
      <w:r>
        <w:t>The UE needs only to measure on one of the carriers among all that are configured as CA from the network to the UE in a single band in FR2.</w:t>
      </w:r>
    </w:p>
    <w:p w14:paraId="5B210826" w14:textId="56B1E10E" w:rsidR="00AC0764" w:rsidRDefault="00AC0764" w:rsidP="00AC0764">
      <w:pPr>
        <w:pStyle w:val="ListParagraph"/>
        <w:numPr>
          <w:ilvl w:val="1"/>
          <w:numId w:val="40"/>
        </w:numPr>
      </w:pPr>
      <w:r>
        <w:t>UE chooses the carrier that it measures on among all carriers in the same band.</w:t>
      </w:r>
    </w:p>
    <w:p w14:paraId="6CE356A9" w14:textId="70A296FD" w:rsidR="00AC0764" w:rsidRDefault="00AC0764" w:rsidP="00AC0764">
      <w:pPr>
        <w:pStyle w:val="ListParagraph"/>
        <w:numPr>
          <w:ilvl w:val="1"/>
          <w:numId w:val="40"/>
        </w:numPr>
      </w:pPr>
      <w:r>
        <w:t>The UE chooses the PCC</w:t>
      </w:r>
      <w:r w:rsidR="004D66D3">
        <w:t xml:space="preserve"> with priority over all others, and the UE then chooses PSCC otherwise.</w:t>
      </w:r>
    </w:p>
    <w:p w14:paraId="6ACC53A5" w14:textId="0B51EFE0" w:rsidR="004D66D3" w:rsidRDefault="004D66D3" w:rsidP="00AC0764">
      <w:pPr>
        <w:pStyle w:val="ListParagraph"/>
        <w:numPr>
          <w:ilvl w:val="1"/>
          <w:numId w:val="40"/>
        </w:numPr>
      </w:pPr>
      <w:r>
        <w:t>When there is no PCC nor PSCC in the target band, the UE chooses an SCC where the target SSB is configured in a Measurement Object to the UE.</w:t>
      </w:r>
    </w:p>
    <w:p w14:paraId="7AEE2610" w14:textId="68C370EE" w:rsidR="004D66D3" w:rsidRDefault="004D66D3" w:rsidP="00AC0764">
      <w:pPr>
        <w:pStyle w:val="ListParagraph"/>
        <w:numPr>
          <w:ilvl w:val="1"/>
          <w:numId w:val="40"/>
        </w:numPr>
      </w:pPr>
      <w:r>
        <w:t>Otherwise, it is up to UE’s implementation and network is not clear about which one the UE chooses.</w:t>
      </w:r>
    </w:p>
    <w:p w14:paraId="4AD21B60" w14:textId="6F264811" w:rsidR="004D66D3" w:rsidRDefault="004D66D3" w:rsidP="00AC0764">
      <w:pPr>
        <w:pStyle w:val="ListParagraph"/>
        <w:numPr>
          <w:ilvl w:val="1"/>
          <w:numId w:val="40"/>
        </w:numPr>
      </w:pPr>
      <w:r>
        <w:t>When the network indicates to the UE within a FR2 band, that the UE is required to measure on the indicated carrier, the UE follows the network indication (the indication from network can be per-UE RRC indication).</w:t>
      </w:r>
    </w:p>
    <w:p w14:paraId="0D8D3FEF" w14:textId="461C3CCD" w:rsidR="004D66D3" w:rsidRPr="00600325" w:rsidRDefault="00600325" w:rsidP="00600325">
      <w:pPr>
        <w:rPr>
          <w:b/>
          <w:bCs/>
        </w:rPr>
      </w:pPr>
      <w:r w:rsidRPr="00600325">
        <w:rPr>
          <w:b/>
          <w:bCs/>
        </w:rPr>
        <w:t>Proposal 1: The UE needs only to measure on one of the carriers among all that are configured as CA from the network to the UE in a single band in FR2.</w:t>
      </w:r>
    </w:p>
    <w:p w14:paraId="1F325EA5" w14:textId="03167202" w:rsidR="00600325" w:rsidRPr="00600325" w:rsidRDefault="00600325" w:rsidP="00600325">
      <w:pPr>
        <w:rPr>
          <w:b/>
          <w:bCs/>
        </w:rPr>
      </w:pPr>
      <w:r w:rsidRPr="00600325">
        <w:rPr>
          <w:b/>
          <w:bCs/>
        </w:rPr>
        <w:t>Proposal 2: The UE chooses the PCC with priority over all others, and the UE then chooses PSCC otherwise. When there is no PCC nor PSCC in the target band, the UE chooses an SCC where the target SSB is configured in a Measurement Object to the UE. Otherwise, it is up to UE’s implementation and network is not clear about which one the UE chooses.</w:t>
      </w:r>
    </w:p>
    <w:p w14:paraId="68D0C77C" w14:textId="71A8CDED" w:rsidR="00600325" w:rsidRDefault="00600325" w:rsidP="00600325">
      <w:pPr>
        <w:rPr>
          <w:b/>
          <w:bCs/>
        </w:rPr>
      </w:pPr>
      <w:r w:rsidRPr="00600325">
        <w:rPr>
          <w:b/>
          <w:bCs/>
        </w:rPr>
        <w:t>Proposal 3: When the network indicates to the UE within a FR2 band, that the UE is required to measure on the indicated carrier, the UE follows the network indication (the indication from network can be per-UE RRC indication).</w:t>
      </w:r>
    </w:p>
    <w:p w14:paraId="08E57957" w14:textId="7C91BE70" w:rsidR="00600325" w:rsidRPr="00600325" w:rsidRDefault="00600325" w:rsidP="00600325">
      <w:pPr>
        <w:rPr>
          <w:b/>
          <w:bCs/>
        </w:rPr>
      </w:pPr>
      <w:r>
        <w:rPr>
          <w:b/>
          <w:bCs/>
        </w:rPr>
        <w:t xml:space="preserve">Proposal 4: </w:t>
      </w:r>
      <w:r w:rsidR="005E7742">
        <w:rPr>
          <w:b/>
          <w:bCs/>
        </w:rPr>
        <w:t>Single carrier measurement</w:t>
      </w:r>
      <w:r>
        <w:rPr>
          <w:b/>
          <w:bCs/>
        </w:rPr>
        <w:t xml:space="preserve"> does not apply to FR1.</w:t>
      </w:r>
    </w:p>
    <w:p w14:paraId="0723635D" w14:textId="71DCE1B9" w:rsidR="00600325" w:rsidRPr="00600325" w:rsidRDefault="00936362" w:rsidP="008E7DB3">
      <w:pPr>
        <w:rPr>
          <w:b/>
          <w:bCs/>
          <w:i/>
          <w:iCs/>
          <w:u w:val="single"/>
        </w:rPr>
      </w:pPr>
      <w:r>
        <w:rPr>
          <w:b/>
          <w:bCs/>
          <w:i/>
          <w:iCs/>
          <w:u w:val="single"/>
        </w:rPr>
        <w:t>Additional searcher</w:t>
      </w:r>
      <w:r w:rsidR="00600325" w:rsidRPr="00600325">
        <w:rPr>
          <w:b/>
          <w:bCs/>
          <w:i/>
          <w:iCs/>
          <w:u w:val="single"/>
        </w:rPr>
        <w:t xml:space="preserve"> for CSSF outside gap</w:t>
      </w:r>
    </w:p>
    <w:p w14:paraId="4C1B8B3B" w14:textId="743A2B97" w:rsidR="00AC0764" w:rsidRDefault="00600325" w:rsidP="008E7DB3">
      <w:r>
        <w:t>Another direction of enhancements to CSSF outside gap within the scope of this item is to allow UE 3 searchers assumption. This means that the UE with three searchers support 3 parallel measurements</w:t>
      </w:r>
      <w:r w:rsidR="00341DAD">
        <w:t xml:space="preserve">, as compared to </w:t>
      </w:r>
      <w:r w:rsidR="00814C9F">
        <w:t>the legacy assumption which is 2,</w:t>
      </w:r>
      <w:r>
        <w:t xml:space="preserve"> </w:t>
      </w:r>
      <w:r w:rsidR="00814C9F">
        <w:t>that</w:t>
      </w:r>
      <w:r>
        <w:t xml:space="preserve"> facilitate a much faster measurement in general and it is beneficial to the system mobility</w:t>
      </w:r>
      <w:r w:rsidR="00C573D2">
        <w:t>/measurement</w:t>
      </w:r>
      <w:r>
        <w:t xml:space="preserve"> performance. Different from single CC measurements, this assumption applies to both FR1 and FR2 measurements.</w:t>
      </w:r>
    </w:p>
    <w:p w14:paraId="5C1E0982" w14:textId="4097E375" w:rsidR="00936362" w:rsidRDefault="00936362" w:rsidP="008E7DB3">
      <w:r>
        <w:t>When measurement gap is not configured to the UE, the UE uses the additional searcher on measurements without gap to speed up the measurement reporting of any interested carrier for the system.</w:t>
      </w:r>
    </w:p>
    <w:p w14:paraId="7B637493" w14:textId="5F8C7AA8" w:rsidR="00600325" w:rsidRDefault="00600325" w:rsidP="008E7DB3">
      <w:r>
        <w:t>In the last WG meeting, an initial agreement was</w:t>
      </w:r>
    </w:p>
    <w:tbl>
      <w:tblPr>
        <w:tblStyle w:val="TableGrid"/>
        <w:tblW w:w="0" w:type="auto"/>
        <w:tblLook w:val="04A0" w:firstRow="1" w:lastRow="0" w:firstColumn="1" w:lastColumn="0" w:noHBand="0" w:noVBand="1"/>
      </w:tblPr>
      <w:tblGrid>
        <w:gridCol w:w="9621"/>
      </w:tblGrid>
      <w:tr w:rsidR="00600325" w14:paraId="7B2657A0" w14:textId="77777777" w:rsidTr="00600325">
        <w:tc>
          <w:tcPr>
            <w:tcW w:w="9621" w:type="dxa"/>
          </w:tcPr>
          <w:p w14:paraId="65FC665F" w14:textId="77777777" w:rsidR="00600325" w:rsidRPr="00600325" w:rsidRDefault="00600325" w:rsidP="00600325">
            <w:pPr>
              <w:rPr>
                <w:lang w:val="en-US"/>
              </w:rPr>
            </w:pPr>
            <w:r w:rsidRPr="00600325">
              <w:rPr>
                <w:lang w:val="en-US"/>
              </w:rPr>
              <w:lastRenderedPageBreak/>
              <w:t>Agreement:</w:t>
            </w:r>
          </w:p>
          <w:p w14:paraId="1EF03CEE" w14:textId="77777777" w:rsidR="00600325" w:rsidRPr="00600325" w:rsidRDefault="00600325" w:rsidP="00600325">
            <w:pPr>
              <w:rPr>
                <w:lang w:val="ru-RU"/>
              </w:rPr>
            </w:pPr>
            <w:r w:rsidRPr="00600325">
              <w:rPr>
                <w:lang w:val="ru-RU"/>
              </w:rPr>
              <w:t>RAN4 to study the scenario of using 3 searchers for CSSF reduction. The scenario is:</w:t>
            </w:r>
          </w:p>
          <w:p w14:paraId="015E37F4" w14:textId="77777777" w:rsidR="00600325" w:rsidRPr="00600325" w:rsidRDefault="00600325" w:rsidP="00600325">
            <w:pPr>
              <w:numPr>
                <w:ilvl w:val="2"/>
                <w:numId w:val="47"/>
              </w:numPr>
              <w:rPr>
                <w:lang w:val="ru-RU"/>
              </w:rPr>
            </w:pPr>
            <w:r w:rsidRPr="00600325">
              <w:rPr>
                <w:lang w:val="ru-RU"/>
              </w:rPr>
              <w:t>FFS: FR1 scenario (CA and NR-DC) only.</w:t>
            </w:r>
          </w:p>
          <w:p w14:paraId="169535AE" w14:textId="77777777" w:rsidR="00600325" w:rsidRPr="00600325" w:rsidRDefault="00600325" w:rsidP="00600325">
            <w:pPr>
              <w:numPr>
                <w:ilvl w:val="2"/>
                <w:numId w:val="47"/>
              </w:numPr>
              <w:rPr>
                <w:lang w:val="ru-RU"/>
              </w:rPr>
            </w:pPr>
            <w:r w:rsidRPr="00600325">
              <w:rPr>
                <w:lang w:val="ru-RU"/>
              </w:rPr>
              <w:t>FFS: FR1 scenario (CA and NR-DC) and FR1 + FR2 scenario (CA and NR-DC) only.</w:t>
            </w:r>
          </w:p>
          <w:p w14:paraId="4F794A5B" w14:textId="140B2E89" w:rsidR="00600325" w:rsidRPr="00600325" w:rsidRDefault="00600325" w:rsidP="008E7DB3">
            <w:pPr>
              <w:numPr>
                <w:ilvl w:val="2"/>
                <w:numId w:val="47"/>
              </w:numPr>
              <w:rPr>
                <w:lang w:val="ru-RU"/>
              </w:rPr>
            </w:pPr>
            <w:r w:rsidRPr="00600325">
              <w:rPr>
                <w:lang w:val="ru-RU"/>
              </w:rPr>
              <w:t>FFS: All scenarios.</w:t>
            </w:r>
          </w:p>
        </w:tc>
      </w:tr>
    </w:tbl>
    <w:p w14:paraId="25378F98" w14:textId="10D0B86D" w:rsidR="00600325" w:rsidRDefault="00936362" w:rsidP="008E7DB3">
      <w:r>
        <w:t xml:space="preserve">In the Rel-19 specifications, we define the additional searcher </w:t>
      </w:r>
      <w:r w:rsidR="00AE3BD7">
        <w:t>enhancements so that the UE can measure outside measurement gap on a target carrier either from network indication or from the UE’s choice.</w:t>
      </w:r>
    </w:p>
    <w:p w14:paraId="40F15185" w14:textId="7469109A" w:rsidR="00AE3BD7" w:rsidRDefault="00AE3BD7" w:rsidP="00AE3BD7">
      <w:pPr>
        <w:pStyle w:val="ListParagraph"/>
        <w:numPr>
          <w:ilvl w:val="1"/>
          <w:numId w:val="40"/>
        </w:numPr>
      </w:pPr>
      <w:r>
        <w:t>The UE follows measurement behaviours according to the legacy measurement and report configurations with legacy searcher assumptions. UE PCC/PSCC/SCC measurements are not enhanced, and the existing requirements remain unchanged.</w:t>
      </w:r>
    </w:p>
    <w:p w14:paraId="755972F5" w14:textId="12562D6D" w:rsidR="00AE3BD7" w:rsidRDefault="00AE3BD7" w:rsidP="00AE3BD7">
      <w:pPr>
        <w:pStyle w:val="ListParagraph"/>
        <w:numPr>
          <w:ilvl w:val="1"/>
          <w:numId w:val="40"/>
        </w:numPr>
      </w:pPr>
      <w:r>
        <w:t>The UE is required to use the additional searcher (an extra set of baseband resources for RRM measurement) according to network configuration which is dedicated to the additional searcher feature.</w:t>
      </w:r>
    </w:p>
    <w:p w14:paraId="5C1381BA" w14:textId="235151FE" w:rsidR="00AE3BD7" w:rsidRDefault="00AE3BD7" w:rsidP="00AE3BD7">
      <w:pPr>
        <w:pStyle w:val="ListParagraph"/>
        <w:numPr>
          <w:ilvl w:val="1"/>
          <w:numId w:val="40"/>
        </w:numPr>
      </w:pPr>
      <w:r>
        <w:t>The target of the UE measurement using the additional searcher is either according to the network indication or to the UE’s choice.</w:t>
      </w:r>
    </w:p>
    <w:p w14:paraId="395CF9F9" w14:textId="5973E920" w:rsidR="00AE3BD7" w:rsidRDefault="00AE3BD7" w:rsidP="00AE3BD7">
      <w:pPr>
        <w:pStyle w:val="ListParagraph"/>
        <w:numPr>
          <w:ilvl w:val="1"/>
          <w:numId w:val="40"/>
        </w:numPr>
      </w:pPr>
      <w:r>
        <w:t>The CSSF outside gap definition for the additional searcher measurement requirements is 1 when there is only one target carrier, while it is N when there is N carriers configured/decided by UE among the targets.</w:t>
      </w:r>
    </w:p>
    <w:p w14:paraId="5B22E4FA" w14:textId="7BC218C2" w:rsidR="00AE3BD7" w:rsidRDefault="00AE3BD7" w:rsidP="00AE3BD7">
      <w:pPr>
        <w:pStyle w:val="ListParagraph"/>
        <w:numPr>
          <w:ilvl w:val="1"/>
          <w:numId w:val="40"/>
        </w:numPr>
      </w:pPr>
      <w:r>
        <w:t>This requirement applies only when there is no measurement gap configured in Rel-19.</w:t>
      </w:r>
    </w:p>
    <w:p w14:paraId="14B743BA" w14:textId="28F230ED" w:rsidR="00AE3BD7" w:rsidRDefault="00AE3BD7" w:rsidP="00AE3BD7">
      <w:pPr>
        <w:pStyle w:val="ListParagraph"/>
        <w:numPr>
          <w:ilvl w:val="1"/>
          <w:numId w:val="40"/>
        </w:numPr>
      </w:pPr>
      <w:r>
        <w:t>This requirement applies to all scenarios including FR1 CA/DC, FR2 CA/DC and FR1 + FR2 cases.</w:t>
      </w:r>
    </w:p>
    <w:p w14:paraId="6BD5111E" w14:textId="239DA66C" w:rsidR="00AE3BD7" w:rsidRPr="00AE3BD7" w:rsidRDefault="00AE3BD7" w:rsidP="00AE3BD7">
      <w:pPr>
        <w:rPr>
          <w:b/>
          <w:bCs/>
        </w:rPr>
      </w:pPr>
      <w:r w:rsidRPr="00AE3BD7">
        <w:rPr>
          <w:b/>
          <w:bCs/>
        </w:rPr>
        <w:t>Proposal 5: The UE follows measurement behaviours according to the legacy measurement and report configurations with legacy searcher assumptions. UE PCC/PSCC/SCC measurements are not enhanced, and the existing requirements remain unchanged.</w:t>
      </w:r>
    </w:p>
    <w:p w14:paraId="4D234FEF" w14:textId="370EB0C5" w:rsidR="00AE3BD7" w:rsidRPr="00AE3BD7" w:rsidRDefault="00AE3BD7" w:rsidP="00AE3BD7">
      <w:pPr>
        <w:rPr>
          <w:b/>
          <w:bCs/>
        </w:rPr>
      </w:pPr>
      <w:r w:rsidRPr="00AE3BD7">
        <w:rPr>
          <w:b/>
          <w:bCs/>
        </w:rPr>
        <w:t>Proposal 6: The UE is required to use the additional searcher (an extra set of baseband resources for RRM measurement) according to network configuration which is dedicated to the additional searcher feature.</w:t>
      </w:r>
    </w:p>
    <w:p w14:paraId="51DB9604" w14:textId="7C981B56" w:rsidR="00AE3BD7" w:rsidRPr="00AE3BD7" w:rsidRDefault="00AE3BD7" w:rsidP="00AE3BD7">
      <w:pPr>
        <w:rPr>
          <w:b/>
          <w:bCs/>
        </w:rPr>
      </w:pPr>
      <w:r w:rsidRPr="00AE3BD7">
        <w:rPr>
          <w:b/>
          <w:bCs/>
        </w:rPr>
        <w:t>Proposal 7: The target of the UE measurement using the additional searcher is either according to the network indication or to the UE’s choice.</w:t>
      </w:r>
    </w:p>
    <w:p w14:paraId="19A5CCDF" w14:textId="6FE59B46" w:rsidR="00AE3BD7" w:rsidRPr="00AE3BD7" w:rsidRDefault="00AE3BD7" w:rsidP="00AE3BD7">
      <w:pPr>
        <w:rPr>
          <w:b/>
          <w:bCs/>
        </w:rPr>
      </w:pPr>
      <w:r w:rsidRPr="00AE3BD7">
        <w:rPr>
          <w:b/>
          <w:bCs/>
        </w:rPr>
        <w:t>Proposal 8: This requirement applies only when there is no measurement gap configured in Rel-19.</w:t>
      </w:r>
    </w:p>
    <w:p w14:paraId="0FB975DB" w14:textId="6A79F899" w:rsidR="00AE3BD7" w:rsidRPr="00AE3BD7" w:rsidRDefault="00AE3BD7" w:rsidP="00AE3BD7">
      <w:pPr>
        <w:rPr>
          <w:b/>
          <w:bCs/>
        </w:rPr>
      </w:pPr>
      <w:r w:rsidRPr="00AE3BD7">
        <w:rPr>
          <w:b/>
          <w:bCs/>
        </w:rPr>
        <w:t>Proposal 9: This requirement applies to all scenarios including FR1 CA/DC, FR2 CA/DC and FR1 + FR2 cases.</w:t>
      </w:r>
    </w:p>
    <w:p w14:paraId="06B0650C" w14:textId="02891283" w:rsidR="00F01182" w:rsidRPr="00146B4F" w:rsidRDefault="00F01182" w:rsidP="00530EE0">
      <w:pPr>
        <w:pStyle w:val="Heading1"/>
      </w:pPr>
      <w:r w:rsidRPr="00146B4F">
        <w:t>Conclusion</w:t>
      </w:r>
    </w:p>
    <w:p w14:paraId="62160B76" w14:textId="77777777" w:rsidR="00E0262E" w:rsidRDefault="00E0262E" w:rsidP="00E0262E">
      <w:r>
        <w:t>In this paper we provide our analysis on delay reduction by optimizing CSSF outside gap.</w:t>
      </w:r>
    </w:p>
    <w:p w14:paraId="3FEB8AF0" w14:textId="77777777" w:rsidR="00E0262E" w:rsidRPr="00600325" w:rsidRDefault="00E0262E" w:rsidP="00E0262E">
      <w:pPr>
        <w:rPr>
          <w:b/>
          <w:bCs/>
        </w:rPr>
      </w:pPr>
      <w:r w:rsidRPr="00600325">
        <w:rPr>
          <w:b/>
          <w:bCs/>
        </w:rPr>
        <w:t>Proposal 1: The UE needs only to measure on one of the carriers among all that are configured as CA from the network to the UE in a single band in FR2.</w:t>
      </w:r>
    </w:p>
    <w:p w14:paraId="4A3DF5CC" w14:textId="77777777" w:rsidR="00E0262E" w:rsidRPr="00600325" w:rsidRDefault="00E0262E" w:rsidP="00E0262E">
      <w:pPr>
        <w:rPr>
          <w:b/>
          <w:bCs/>
        </w:rPr>
      </w:pPr>
      <w:r w:rsidRPr="00600325">
        <w:rPr>
          <w:b/>
          <w:bCs/>
        </w:rPr>
        <w:t>Proposal 2: The UE chooses the PCC with priority over all others, and the UE then chooses PSCC otherwise. When there is no PCC nor PSCC in the target band, the UE chooses an SCC where the target SSB is configured in a Measurement Object to the UE. Otherwise, it is up to UE’s implementation and network is not clear about which one the UE chooses.</w:t>
      </w:r>
    </w:p>
    <w:p w14:paraId="460B806E" w14:textId="77777777" w:rsidR="00E0262E" w:rsidRDefault="00E0262E" w:rsidP="00E0262E">
      <w:pPr>
        <w:rPr>
          <w:b/>
          <w:bCs/>
        </w:rPr>
      </w:pPr>
      <w:r w:rsidRPr="00600325">
        <w:rPr>
          <w:b/>
          <w:bCs/>
        </w:rPr>
        <w:t>Proposal 3: When the network indicates to the UE within a FR2 band, that the UE is required to measure on the indicated carrier, the UE follows the network indication (the indication from network can be per-UE RRC indication).</w:t>
      </w:r>
    </w:p>
    <w:p w14:paraId="424AD653" w14:textId="77777777" w:rsidR="00E0262E" w:rsidRDefault="00E0262E" w:rsidP="00E0262E">
      <w:pPr>
        <w:rPr>
          <w:b/>
          <w:bCs/>
        </w:rPr>
      </w:pPr>
      <w:r>
        <w:rPr>
          <w:b/>
          <w:bCs/>
        </w:rPr>
        <w:t>Proposal 4: Single carrier measurement does not apply to FR1.</w:t>
      </w:r>
    </w:p>
    <w:p w14:paraId="6127B722" w14:textId="77777777" w:rsidR="00AE3BD7" w:rsidRPr="00AE3BD7" w:rsidRDefault="00AE3BD7" w:rsidP="00AE3BD7">
      <w:pPr>
        <w:rPr>
          <w:b/>
          <w:bCs/>
        </w:rPr>
      </w:pPr>
      <w:r w:rsidRPr="00AE3BD7">
        <w:rPr>
          <w:b/>
          <w:bCs/>
        </w:rPr>
        <w:t>Proposal 5: The UE follows measurement behaviours according to the legacy measurement and report configurations with legacy searcher assumptions. UE PCC/PSCC/SCC measurements are not enhanced, and the existing requirements remain unchanged.</w:t>
      </w:r>
    </w:p>
    <w:p w14:paraId="4BA976C8" w14:textId="77777777" w:rsidR="00AE3BD7" w:rsidRPr="00AE3BD7" w:rsidRDefault="00AE3BD7" w:rsidP="00AE3BD7">
      <w:pPr>
        <w:rPr>
          <w:b/>
          <w:bCs/>
        </w:rPr>
      </w:pPr>
      <w:r w:rsidRPr="00AE3BD7">
        <w:rPr>
          <w:b/>
          <w:bCs/>
        </w:rPr>
        <w:t>Proposal 6: The UE is required to use the additional searcher (an extra set of baseband resources for RRM measurement) according to network configuration which is dedicated to the additional searcher feature.</w:t>
      </w:r>
    </w:p>
    <w:p w14:paraId="3F3EB1EB" w14:textId="77777777" w:rsidR="00AE3BD7" w:rsidRPr="00AE3BD7" w:rsidRDefault="00AE3BD7" w:rsidP="00AE3BD7">
      <w:pPr>
        <w:rPr>
          <w:b/>
          <w:bCs/>
        </w:rPr>
      </w:pPr>
      <w:r w:rsidRPr="00AE3BD7">
        <w:rPr>
          <w:b/>
          <w:bCs/>
        </w:rPr>
        <w:t>Proposal 7: The target of the UE measurement using the additional searcher is either according to the network indication or to the UE’s choice.</w:t>
      </w:r>
    </w:p>
    <w:p w14:paraId="633C6759" w14:textId="77777777" w:rsidR="00AE3BD7" w:rsidRPr="00AE3BD7" w:rsidRDefault="00AE3BD7" w:rsidP="00AE3BD7">
      <w:pPr>
        <w:rPr>
          <w:b/>
          <w:bCs/>
        </w:rPr>
      </w:pPr>
      <w:r w:rsidRPr="00AE3BD7">
        <w:rPr>
          <w:b/>
          <w:bCs/>
        </w:rPr>
        <w:t>Proposal 8: This requirement applies only when there is no measurement gap configured in Rel-19.</w:t>
      </w:r>
    </w:p>
    <w:p w14:paraId="1F55BF83" w14:textId="77777777" w:rsidR="00AE3BD7" w:rsidRPr="00AE3BD7" w:rsidRDefault="00AE3BD7" w:rsidP="00AE3BD7">
      <w:pPr>
        <w:rPr>
          <w:b/>
          <w:bCs/>
        </w:rPr>
      </w:pPr>
      <w:r w:rsidRPr="00AE3BD7">
        <w:rPr>
          <w:b/>
          <w:bCs/>
        </w:rPr>
        <w:lastRenderedPageBreak/>
        <w:t>Proposal 9: This requirement applies to all scenarios including FR1 CA/DC, FR2 CA/DC and FR1 + FR2 cases.</w:t>
      </w:r>
    </w:p>
    <w:p w14:paraId="267E9505" w14:textId="77777777" w:rsidR="00AE3BD7" w:rsidRPr="00600325" w:rsidRDefault="00AE3BD7" w:rsidP="00E0262E">
      <w:pPr>
        <w:rPr>
          <w:b/>
          <w:bCs/>
        </w:rPr>
      </w:pP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1603ED22" w:rsidR="006F73CA" w:rsidRDefault="009244C7" w:rsidP="00536CC1">
      <w:pPr>
        <w:widowControl w:val="0"/>
        <w:numPr>
          <w:ilvl w:val="0"/>
          <w:numId w:val="1"/>
        </w:numPr>
        <w:jc w:val="both"/>
      </w:pPr>
      <w:r>
        <w:t>R4-24</w:t>
      </w:r>
      <w:r w:rsidR="000257B1">
        <w:t>20093</w:t>
      </w:r>
      <w:r>
        <w:t xml:space="preserve">, </w:t>
      </w:r>
      <w:r w:rsidR="0000640E" w:rsidRPr="0000640E">
        <w:t>WF on RRM requirements for NR_RRM_Ph5_Part1</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1669" w14:textId="77777777" w:rsidR="00156446" w:rsidRDefault="00156446" w:rsidP="00F01182">
      <w:pPr>
        <w:spacing w:before="0" w:after="0"/>
      </w:pPr>
      <w:r>
        <w:separator/>
      </w:r>
    </w:p>
  </w:endnote>
  <w:endnote w:type="continuationSeparator" w:id="0">
    <w:p w14:paraId="3287BE25" w14:textId="77777777" w:rsidR="00156446" w:rsidRDefault="00156446" w:rsidP="00F01182">
      <w:pPr>
        <w:spacing w:before="0" w:after="0"/>
      </w:pPr>
      <w:r>
        <w:continuationSeparator/>
      </w:r>
    </w:p>
  </w:endnote>
  <w:endnote w:type="continuationNotice" w:id="1">
    <w:p w14:paraId="4E5160D9" w14:textId="77777777" w:rsidR="00156446" w:rsidRDefault="001564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FF8E" w14:textId="77777777" w:rsidR="00156446" w:rsidRDefault="00156446" w:rsidP="00F01182">
      <w:pPr>
        <w:spacing w:before="0" w:after="0"/>
      </w:pPr>
      <w:r>
        <w:separator/>
      </w:r>
    </w:p>
  </w:footnote>
  <w:footnote w:type="continuationSeparator" w:id="0">
    <w:p w14:paraId="55759B78" w14:textId="77777777" w:rsidR="00156446" w:rsidRDefault="00156446" w:rsidP="00F01182">
      <w:pPr>
        <w:spacing w:before="0" w:after="0"/>
      </w:pPr>
      <w:r>
        <w:continuationSeparator/>
      </w:r>
    </w:p>
  </w:footnote>
  <w:footnote w:type="continuationNotice" w:id="1">
    <w:p w14:paraId="1EF3171D" w14:textId="77777777" w:rsidR="00156446" w:rsidRDefault="001564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7C5A"/>
    <w:multiLevelType w:val="multilevel"/>
    <w:tmpl w:val="C7E2AE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5"/>
  </w:num>
  <w:num w:numId="3" w16cid:durableId="1750498845">
    <w:abstractNumId w:val="28"/>
  </w:num>
  <w:num w:numId="4" w16cid:durableId="543520260">
    <w:abstractNumId w:val="21"/>
  </w:num>
  <w:num w:numId="5" w16cid:durableId="1359502119">
    <w:abstractNumId w:val="13"/>
  </w:num>
  <w:num w:numId="6" w16cid:durableId="1793940456">
    <w:abstractNumId w:val="31"/>
  </w:num>
  <w:num w:numId="7" w16cid:durableId="537012164">
    <w:abstractNumId w:val="12"/>
  </w:num>
  <w:num w:numId="8" w16cid:durableId="2097706601">
    <w:abstractNumId w:val="0"/>
  </w:num>
  <w:num w:numId="9" w16cid:durableId="1310327117">
    <w:abstractNumId w:val="15"/>
  </w:num>
  <w:num w:numId="10" w16cid:durableId="1636716512">
    <w:abstractNumId w:val="32"/>
  </w:num>
  <w:num w:numId="11" w16cid:durableId="715861796">
    <w:abstractNumId w:val="1"/>
  </w:num>
  <w:num w:numId="12" w16cid:durableId="839199737">
    <w:abstractNumId w:val="3"/>
  </w:num>
  <w:num w:numId="13" w16cid:durableId="1818840559">
    <w:abstractNumId w:val="27"/>
  </w:num>
  <w:num w:numId="14" w16cid:durableId="1427581886">
    <w:abstractNumId w:val="16"/>
  </w:num>
  <w:num w:numId="15" w16cid:durableId="1860504042">
    <w:abstractNumId w:val="26"/>
  </w:num>
  <w:num w:numId="16" w16cid:durableId="1765879093">
    <w:abstractNumId w:val="18"/>
  </w:num>
  <w:num w:numId="17" w16cid:durableId="483280718">
    <w:abstractNumId w:val="33"/>
  </w:num>
  <w:num w:numId="18" w16cid:durableId="1885829372">
    <w:abstractNumId w:val="19"/>
  </w:num>
  <w:num w:numId="19" w16cid:durableId="513542627">
    <w:abstractNumId w:val="7"/>
  </w:num>
  <w:num w:numId="20" w16cid:durableId="754546545">
    <w:abstractNumId w:val="20"/>
  </w:num>
  <w:num w:numId="21" w16cid:durableId="693922844">
    <w:abstractNumId w:val="25"/>
  </w:num>
  <w:num w:numId="22" w16cid:durableId="488254912">
    <w:abstractNumId w:val="25"/>
  </w:num>
  <w:num w:numId="23" w16cid:durableId="313418068">
    <w:abstractNumId w:val="25"/>
  </w:num>
  <w:num w:numId="24" w16cid:durableId="1253708625">
    <w:abstractNumId w:val="25"/>
  </w:num>
  <w:num w:numId="25" w16cid:durableId="1868327563">
    <w:abstractNumId w:val="25"/>
  </w:num>
  <w:num w:numId="26" w16cid:durableId="403720693">
    <w:abstractNumId w:val="26"/>
  </w:num>
  <w:num w:numId="27" w16cid:durableId="979964366">
    <w:abstractNumId w:val="9"/>
  </w:num>
  <w:num w:numId="28" w16cid:durableId="1145703836">
    <w:abstractNumId w:val="29"/>
  </w:num>
  <w:num w:numId="29" w16cid:durableId="1350718329">
    <w:abstractNumId w:val="30"/>
  </w:num>
  <w:num w:numId="30" w16cid:durableId="1228496372">
    <w:abstractNumId w:val="14"/>
  </w:num>
  <w:num w:numId="31" w16cid:durableId="1234511580">
    <w:abstractNumId w:val="8"/>
  </w:num>
  <w:num w:numId="32" w16cid:durableId="2116704110">
    <w:abstractNumId w:val="24"/>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4"/>
  </w:num>
  <w:num w:numId="35" w16cid:durableId="80837908">
    <w:abstractNumId w:val="6"/>
  </w:num>
  <w:num w:numId="36" w16cid:durableId="1173380315">
    <w:abstractNumId w:val="28"/>
  </w:num>
  <w:num w:numId="37" w16cid:durableId="553003575">
    <w:abstractNumId w:val="23"/>
  </w:num>
  <w:num w:numId="38" w16cid:durableId="1103723103">
    <w:abstractNumId w:val="11"/>
  </w:num>
  <w:num w:numId="39" w16cid:durableId="1855418476">
    <w:abstractNumId w:val="17"/>
  </w:num>
  <w:num w:numId="40" w16cid:durableId="524758151">
    <w:abstractNumId w:val="35"/>
  </w:num>
  <w:num w:numId="41" w16cid:durableId="466431924">
    <w:abstractNumId w:val="2"/>
  </w:num>
  <w:num w:numId="42" w16cid:durableId="449400302">
    <w:abstractNumId w:val="35"/>
  </w:num>
  <w:num w:numId="43" w16cid:durableId="2114322629">
    <w:abstractNumId w:val="2"/>
  </w:num>
  <w:num w:numId="44" w16cid:durableId="67701510">
    <w:abstractNumId w:val="22"/>
  </w:num>
  <w:num w:numId="45" w16cid:durableId="697438728">
    <w:abstractNumId w:val="22"/>
  </w:num>
  <w:num w:numId="46" w16cid:durableId="1567640621">
    <w:abstractNumId w:val="10"/>
  </w:num>
  <w:num w:numId="47" w16cid:durableId="17106439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640E"/>
    <w:rsid w:val="00010354"/>
    <w:rsid w:val="00011672"/>
    <w:rsid w:val="000139CF"/>
    <w:rsid w:val="00014D02"/>
    <w:rsid w:val="000170EA"/>
    <w:rsid w:val="00017D70"/>
    <w:rsid w:val="00020083"/>
    <w:rsid w:val="00021794"/>
    <w:rsid w:val="000227F3"/>
    <w:rsid w:val="00022BC9"/>
    <w:rsid w:val="00023CD9"/>
    <w:rsid w:val="000251B1"/>
    <w:rsid w:val="0002538D"/>
    <w:rsid w:val="000257B1"/>
    <w:rsid w:val="00025ABE"/>
    <w:rsid w:val="00025B81"/>
    <w:rsid w:val="000279A0"/>
    <w:rsid w:val="00030E5B"/>
    <w:rsid w:val="00032E03"/>
    <w:rsid w:val="00033D79"/>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3296"/>
    <w:rsid w:val="00084065"/>
    <w:rsid w:val="00095052"/>
    <w:rsid w:val="000A115B"/>
    <w:rsid w:val="000A2FFB"/>
    <w:rsid w:val="000A4FFC"/>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56446"/>
    <w:rsid w:val="0016005A"/>
    <w:rsid w:val="001607E8"/>
    <w:rsid w:val="00165100"/>
    <w:rsid w:val="001651E3"/>
    <w:rsid w:val="001702CD"/>
    <w:rsid w:val="00171501"/>
    <w:rsid w:val="00172A34"/>
    <w:rsid w:val="00173E8F"/>
    <w:rsid w:val="00175234"/>
    <w:rsid w:val="001769DC"/>
    <w:rsid w:val="001776C0"/>
    <w:rsid w:val="00180CD2"/>
    <w:rsid w:val="00180CFE"/>
    <w:rsid w:val="00181552"/>
    <w:rsid w:val="00181603"/>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41"/>
    <w:rsid w:val="001B79B4"/>
    <w:rsid w:val="001C072A"/>
    <w:rsid w:val="001C25E3"/>
    <w:rsid w:val="001C2D4A"/>
    <w:rsid w:val="001C49B5"/>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9B0"/>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1DAD"/>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2225"/>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179E6"/>
    <w:rsid w:val="00420AF7"/>
    <w:rsid w:val="00422B4A"/>
    <w:rsid w:val="00422DA1"/>
    <w:rsid w:val="00424D9A"/>
    <w:rsid w:val="00425DB6"/>
    <w:rsid w:val="00425E2B"/>
    <w:rsid w:val="004269BA"/>
    <w:rsid w:val="00426E1E"/>
    <w:rsid w:val="0042717A"/>
    <w:rsid w:val="00431297"/>
    <w:rsid w:val="00431B06"/>
    <w:rsid w:val="00432E87"/>
    <w:rsid w:val="00433360"/>
    <w:rsid w:val="004345D9"/>
    <w:rsid w:val="0043477B"/>
    <w:rsid w:val="00435B85"/>
    <w:rsid w:val="004361D4"/>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59DE"/>
    <w:rsid w:val="004A6646"/>
    <w:rsid w:val="004A6ACE"/>
    <w:rsid w:val="004B051D"/>
    <w:rsid w:val="004B100C"/>
    <w:rsid w:val="004B169B"/>
    <w:rsid w:val="004B191B"/>
    <w:rsid w:val="004B59ED"/>
    <w:rsid w:val="004B5D0D"/>
    <w:rsid w:val="004B693F"/>
    <w:rsid w:val="004B7470"/>
    <w:rsid w:val="004D0917"/>
    <w:rsid w:val="004D366B"/>
    <w:rsid w:val="004D61A0"/>
    <w:rsid w:val="004D66D3"/>
    <w:rsid w:val="004D6FC6"/>
    <w:rsid w:val="004E0BBA"/>
    <w:rsid w:val="004E13DD"/>
    <w:rsid w:val="004E2E12"/>
    <w:rsid w:val="004E3E0E"/>
    <w:rsid w:val="004E3F99"/>
    <w:rsid w:val="004E6575"/>
    <w:rsid w:val="004E6E00"/>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3A0"/>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9794D"/>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E7742"/>
    <w:rsid w:val="005F1BDE"/>
    <w:rsid w:val="005F6B7F"/>
    <w:rsid w:val="00600325"/>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3E8E"/>
    <w:rsid w:val="006A5F2D"/>
    <w:rsid w:val="006B0C48"/>
    <w:rsid w:val="006B1BBE"/>
    <w:rsid w:val="006B1E1D"/>
    <w:rsid w:val="006B2967"/>
    <w:rsid w:val="006B6301"/>
    <w:rsid w:val="006B65B1"/>
    <w:rsid w:val="006C12A3"/>
    <w:rsid w:val="006C2507"/>
    <w:rsid w:val="006C4B90"/>
    <w:rsid w:val="006C51BB"/>
    <w:rsid w:val="006C5BAF"/>
    <w:rsid w:val="006C7A01"/>
    <w:rsid w:val="006C7D87"/>
    <w:rsid w:val="006D23BC"/>
    <w:rsid w:val="006D2CA1"/>
    <w:rsid w:val="006D4C0E"/>
    <w:rsid w:val="006D5678"/>
    <w:rsid w:val="006D5777"/>
    <w:rsid w:val="006D5BEA"/>
    <w:rsid w:val="006D76D9"/>
    <w:rsid w:val="006E4647"/>
    <w:rsid w:val="006F1D08"/>
    <w:rsid w:val="006F1D30"/>
    <w:rsid w:val="006F590B"/>
    <w:rsid w:val="006F5C1A"/>
    <w:rsid w:val="006F73CA"/>
    <w:rsid w:val="00701619"/>
    <w:rsid w:val="00702B1D"/>
    <w:rsid w:val="00704B1F"/>
    <w:rsid w:val="0070785E"/>
    <w:rsid w:val="00710A2C"/>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2FBC"/>
    <w:rsid w:val="00803A5E"/>
    <w:rsid w:val="00803B55"/>
    <w:rsid w:val="00803FB7"/>
    <w:rsid w:val="00804196"/>
    <w:rsid w:val="00804207"/>
    <w:rsid w:val="00804A4D"/>
    <w:rsid w:val="00804CC8"/>
    <w:rsid w:val="00806321"/>
    <w:rsid w:val="00811961"/>
    <w:rsid w:val="00811E0C"/>
    <w:rsid w:val="00814C9F"/>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4652"/>
    <w:rsid w:val="008A7479"/>
    <w:rsid w:val="008A765A"/>
    <w:rsid w:val="008B07E2"/>
    <w:rsid w:val="008B28CF"/>
    <w:rsid w:val="008B3106"/>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E7DB3"/>
    <w:rsid w:val="008F16E6"/>
    <w:rsid w:val="008F64EB"/>
    <w:rsid w:val="00900892"/>
    <w:rsid w:val="00905604"/>
    <w:rsid w:val="00906ABA"/>
    <w:rsid w:val="0091207F"/>
    <w:rsid w:val="009123FD"/>
    <w:rsid w:val="00912942"/>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362"/>
    <w:rsid w:val="00936DE1"/>
    <w:rsid w:val="00941089"/>
    <w:rsid w:val="0094154F"/>
    <w:rsid w:val="0094190F"/>
    <w:rsid w:val="00941F19"/>
    <w:rsid w:val="00941FFE"/>
    <w:rsid w:val="009436B2"/>
    <w:rsid w:val="00944055"/>
    <w:rsid w:val="00944952"/>
    <w:rsid w:val="0094607D"/>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28B7"/>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16709"/>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0764"/>
    <w:rsid w:val="00AC57C4"/>
    <w:rsid w:val="00AC5CFF"/>
    <w:rsid w:val="00AC5DC4"/>
    <w:rsid w:val="00AC7CEB"/>
    <w:rsid w:val="00AD106A"/>
    <w:rsid w:val="00AD1183"/>
    <w:rsid w:val="00AD3413"/>
    <w:rsid w:val="00AD5F7A"/>
    <w:rsid w:val="00AE0357"/>
    <w:rsid w:val="00AE07E7"/>
    <w:rsid w:val="00AE0E4E"/>
    <w:rsid w:val="00AE2DB6"/>
    <w:rsid w:val="00AE32FA"/>
    <w:rsid w:val="00AE3418"/>
    <w:rsid w:val="00AE3BD7"/>
    <w:rsid w:val="00AE4AC8"/>
    <w:rsid w:val="00AF0385"/>
    <w:rsid w:val="00AF27E0"/>
    <w:rsid w:val="00AF2E77"/>
    <w:rsid w:val="00AF361A"/>
    <w:rsid w:val="00AF4C94"/>
    <w:rsid w:val="00AF52F7"/>
    <w:rsid w:val="00B01171"/>
    <w:rsid w:val="00B02253"/>
    <w:rsid w:val="00B035A4"/>
    <w:rsid w:val="00B03D94"/>
    <w:rsid w:val="00B05305"/>
    <w:rsid w:val="00B05576"/>
    <w:rsid w:val="00B11278"/>
    <w:rsid w:val="00B11E4E"/>
    <w:rsid w:val="00B12BCC"/>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B6F49"/>
    <w:rsid w:val="00BC4207"/>
    <w:rsid w:val="00BC4BFD"/>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3D2"/>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2EA"/>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2A97"/>
    <w:rsid w:val="00D73D54"/>
    <w:rsid w:val="00D750BF"/>
    <w:rsid w:val="00D76B45"/>
    <w:rsid w:val="00D824C5"/>
    <w:rsid w:val="00D83984"/>
    <w:rsid w:val="00D83D39"/>
    <w:rsid w:val="00D8410C"/>
    <w:rsid w:val="00D8735B"/>
    <w:rsid w:val="00D87E91"/>
    <w:rsid w:val="00D901E5"/>
    <w:rsid w:val="00D9234B"/>
    <w:rsid w:val="00D931E4"/>
    <w:rsid w:val="00D93F60"/>
    <w:rsid w:val="00D94309"/>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920"/>
    <w:rsid w:val="00DE0BFC"/>
    <w:rsid w:val="00DE2717"/>
    <w:rsid w:val="00DE32C4"/>
    <w:rsid w:val="00DE45B9"/>
    <w:rsid w:val="00DF0578"/>
    <w:rsid w:val="00DF2AA1"/>
    <w:rsid w:val="00DF2C14"/>
    <w:rsid w:val="00DF320A"/>
    <w:rsid w:val="00DF4944"/>
    <w:rsid w:val="00DF5ED3"/>
    <w:rsid w:val="00DF68DF"/>
    <w:rsid w:val="00E0211E"/>
    <w:rsid w:val="00E02377"/>
    <w:rsid w:val="00E0262E"/>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0F36"/>
    <w:rsid w:val="00E7365F"/>
    <w:rsid w:val="00E74515"/>
    <w:rsid w:val="00E75391"/>
    <w:rsid w:val="00E773AC"/>
    <w:rsid w:val="00E80F28"/>
    <w:rsid w:val="00E82411"/>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C72CF"/>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15907"/>
    <w:rsid w:val="00F20BD2"/>
    <w:rsid w:val="00F21DA9"/>
    <w:rsid w:val="00F23C3D"/>
    <w:rsid w:val="00F23E66"/>
    <w:rsid w:val="00F24D79"/>
    <w:rsid w:val="00F30AEB"/>
    <w:rsid w:val="00F31D1A"/>
    <w:rsid w:val="00F32004"/>
    <w:rsid w:val="00F32187"/>
    <w:rsid w:val="00F36E15"/>
    <w:rsid w:val="00F4367C"/>
    <w:rsid w:val="00F44B88"/>
    <w:rsid w:val="00F44C83"/>
    <w:rsid w:val="00F47FE8"/>
    <w:rsid w:val="00F51B6A"/>
    <w:rsid w:val="00F52F9F"/>
    <w:rsid w:val="00F54390"/>
    <w:rsid w:val="00F56C74"/>
    <w:rsid w:val="00F57708"/>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3715"/>
    <w:rsid w:val="00FB43C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1FB9D0EB-330F-412C-8082-5BEFA5D8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BD7"/>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034">
      <w:bodyDiv w:val="1"/>
      <w:marLeft w:val="0"/>
      <w:marRight w:val="0"/>
      <w:marTop w:val="0"/>
      <w:marBottom w:val="0"/>
      <w:divBdr>
        <w:top w:val="none" w:sz="0" w:space="0" w:color="auto"/>
        <w:left w:val="none" w:sz="0" w:space="0" w:color="auto"/>
        <w:bottom w:val="none" w:sz="0" w:space="0" w:color="auto"/>
        <w:right w:val="none" w:sz="0" w:space="0" w:color="auto"/>
      </w:divBdr>
    </w:div>
    <w:div w:id="87123169">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49206480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58899623">
      <w:bodyDiv w:val="1"/>
      <w:marLeft w:val="0"/>
      <w:marRight w:val="0"/>
      <w:marTop w:val="0"/>
      <w:marBottom w:val="0"/>
      <w:divBdr>
        <w:top w:val="none" w:sz="0" w:space="0" w:color="auto"/>
        <w:left w:val="none" w:sz="0" w:space="0" w:color="auto"/>
        <w:bottom w:val="none" w:sz="0" w:space="0" w:color="auto"/>
        <w:right w:val="none" w:sz="0" w:space="0" w:color="auto"/>
      </w:divBdr>
    </w:div>
    <w:div w:id="575021242">
      <w:bodyDiv w:val="1"/>
      <w:marLeft w:val="0"/>
      <w:marRight w:val="0"/>
      <w:marTop w:val="0"/>
      <w:marBottom w:val="0"/>
      <w:divBdr>
        <w:top w:val="none" w:sz="0" w:space="0" w:color="auto"/>
        <w:left w:val="none" w:sz="0" w:space="0" w:color="auto"/>
        <w:bottom w:val="none" w:sz="0" w:space="0" w:color="auto"/>
        <w:right w:val="none" w:sz="0" w:space="0" w:color="auto"/>
      </w:divBdr>
    </w:div>
    <w:div w:id="655376603">
      <w:bodyDiv w:val="1"/>
      <w:marLeft w:val="0"/>
      <w:marRight w:val="0"/>
      <w:marTop w:val="0"/>
      <w:marBottom w:val="0"/>
      <w:divBdr>
        <w:top w:val="none" w:sz="0" w:space="0" w:color="auto"/>
        <w:left w:val="none" w:sz="0" w:space="0" w:color="auto"/>
        <w:bottom w:val="none" w:sz="0" w:space="0" w:color="auto"/>
        <w:right w:val="none" w:sz="0" w:space="0" w:color="auto"/>
      </w:divBdr>
    </w:div>
    <w:div w:id="662590858">
      <w:bodyDiv w:val="1"/>
      <w:marLeft w:val="0"/>
      <w:marRight w:val="0"/>
      <w:marTop w:val="0"/>
      <w:marBottom w:val="0"/>
      <w:divBdr>
        <w:top w:val="none" w:sz="0" w:space="0" w:color="auto"/>
        <w:left w:val="none" w:sz="0" w:space="0" w:color="auto"/>
        <w:bottom w:val="none" w:sz="0" w:space="0" w:color="auto"/>
        <w:right w:val="none" w:sz="0" w:space="0" w:color="auto"/>
      </w:divBdr>
    </w:div>
    <w:div w:id="672490313">
      <w:bodyDiv w:val="1"/>
      <w:marLeft w:val="0"/>
      <w:marRight w:val="0"/>
      <w:marTop w:val="0"/>
      <w:marBottom w:val="0"/>
      <w:divBdr>
        <w:top w:val="none" w:sz="0" w:space="0" w:color="auto"/>
        <w:left w:val="none" w:sz="0" w:space="0" w:color="auto"/>
        <w:bottom w:val="none" w:sz="0" w:space="0" w:color="auto"/>
        <w:right w:val="none" w:sz="0" w:space="0" w:color="auto"/>
      </w:divBdr>
    </w:div>
    <w:div w:id="693073907">
      <w:bodyDiv w:val="1"/>
      <w:marLeft w:val="0"/>
      <w:marRight w:val="0"/>
      <w:marTop w:val="0"/>
      <w:marBottom w:val="0"/>
      <w:divBdr>
        <w:top w:val="none" w:sz="0" w:space="0" w:color="auto"/>
        <w:left w:val="none" w:sz="0" w:space="0" w:color="auto"/>
        <w:bottom w:val="none" w:sz="0" w:space="0" w:color="auto"/>
        <w:right w:val="none" w:sz="0" w:space="0" w:color="auto"/>
      </w:divBdr>
    </w:div>
    <w:div w:id="709110267">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63799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0052816">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33305356">
      <w:bodyDiv w:val="1"/>
      <w:marLeft w:val="0"/>
      <w:marRight w:val="0"/>
      <w:marTop w:val="0"/>
      <w:marBottom w:val="0"/>
      <w:divBdr>
        <w:top w:val="none" w:sz="0" w:space="0" w:color="auto"/>
        <w:left w:val="none" w:sz="0" w:space="0" w:color="auto"/>
        <w:bottom w:val="none" w:sz="0" w:space="0" w:color="auto"/>
        <w:right w:val="none" w:sz="0" w:space="0" w:color="auto"/>
      </w:divBdr>
    </w:div>
    <w:div w:id="86567479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650213">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27271688">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35487427">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92519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88057471">
      <w:bodyDiv w:val="1"/>
      <w:marLeft w:val="0"/>
      <w:marRight w:val="0"/>
      <w:marTop w:val="0"/>
      <w:marBottom w:val="0"/>
      <w:divBdr>
        <w:top w:val="none" w:sz="0" w:space="0" w:color="auto"/>
        <w:left w:val="none" w:sz="0" w:space="0" w:color="auto"/>
        <w:bottom w:val="none" w:sz="0" w:space="0" w:color="auto"/>
        <w:right w:val="none" w:sz="0" w:space="0" w:color="auto"/>
      </w:divBdr>
    </w:div>
    <w:div w:id="1255239849">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2438007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8205659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2517444">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0488471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2625940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6229119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7054</TotalTime>
  <Pages>4</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856</cp:revision>
  <dcterms:created xsi:type="dcterms:W3CDTF">2022-01-08T02:14:00Z</dcterms:created>
  <dcterms:modified xsi:type="dcterms:W3CDTF">2025-02-07T08:53:00Z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